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Book Antiqua" w:hAnsi="Book Antiqua"/>
          <w:b/>
          <w:bCs/>
          <w:i w:val="false"/>
          <w:iCs w:val="false"/>
          <w:sz w:val="24"/>
          <w:szCs w:val="24"/>
        </w:rPr>
        <w:t>Last Book of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Arial" w:ascii="Book Antiqua" w:hAnsi="Book Antiqua"/>
          <w:b/>
          <w:bCs/>
          <w:i w:val="false"/>
          <w:iCs w:val="false"/>
          <w:sz w:val="24"/>
          <w:szCs w:val="24"/>
          <w:u w:val="single"/>
        </w:rPr>
        <w:t>The Aeneid</w:t>
      </w:r>
    </w:p>
    <w:p>
      <w:pPr>
        <w:pStyle w:val="Normal"/>
        <w:jc w:val="left"/>
        <w:rPr>
          <w:rFonts w:ascii="Book Antiqua" w:hAnsi="Book Antiqua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/>
          <w:bCs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/>
          <w:bCs/>
          <w:i w:val="false"/>
          <w:iCs w:val="false"/>
          <w:sz w:val="24"/>
          <w:szCs w:val="24"/>
        </w:rPr>
        <w:t>Book XII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1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. Read the first couple of pages and describe how this book starts: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2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. Read pgs. 368-373  What is 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go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ing 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o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n 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here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 xml:space="preserve">?  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W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hy is Aeneas upset?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. Who is fighting at the end? What happens?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4</w:t>
      </w: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t>. Think about what Virgil was trying to develop in Aeneas' character—does the ending fit with this?  Why or why not?</w:t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  <w:br/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>
          <w:rFonts w:ascii="Book Antiqua" w:hAnsi="Book Antiqua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Book Antiqua" w:hAnsi="Book Antiqua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/>
        <w:t>What stands out to you from this last section?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xx" w:bidi="ar-SA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196</TotalTime>
  <Application>LibreOffice/5.0.1.2$Windows_x86 LibreOffice_project/81898c9f5c0d43f3473ba111d7b351050be20261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2002-02-02T13:31:00Z</dcterms:created>
  <dc:creator> </dc:creator>
  <dc:language>en-US</dc:language>
  <cp:lastPrinted>2009-08-22T13:11:00Z</cp:lastPrinted>
  <dcterms:modified xsi:type="dcterms:W3CDTF">2016-07-27T21:30:13Z</dcterms:modified>
  <cp:revision>11</cp:revision>
  <dc:title>GUIDE THRU THE AENEID  </dc:title>
</cp:coreProperties>
</file>